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lang w:val="en-AU"/>
        </w:rPr>
        <w:t>To Mrs Angela Oddenino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II, 37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He tells her of her son’s decision to suspend his ecclesiastical studies in order to pursue a profession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Turin, 10 May 1849 </w:t>
      </w:r>
    </w:p>
    <w:p>
      <w:pPr>
        <w:pStyle w:val="NoSpacing"/>
        <w:jc w:val="both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Dear Madam,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Here is your Giuseppe: he is going home willing to work, but he keeps saying that he no longer feels called to the clerical state. Therefore, I believe it is pointless to urge him to keep the clerical habit; rather, I would suggest supporting him in pursuing the profession which seems more suitable for his circumstances.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told your son everything a friend can say to a friend; you too must be patient; if the Lord did not want to grant your holy wish to have a son who is a priest, I hope he will console you with a son who is a good Christian.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Let us commend this whole matter to God, and while we do what we can, we pray that God’s will be done in everything.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If I can be of any assistance, please do not hesitate to contact me. You will find me as truly I say I am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 most humble priest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192</Words>
  <Characters>785</Characters>
  <CharactersWithSpaces>970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2025-10-12T16:02:11Z</dcterms:created>
  <dc:creator>JBF</dc:creator>
  <dc:description/>
  <dc:language>en-AU</dc:language>
  <cp:lastModifiedBy>JBF</cp:lastModifiedBy>
  <dcterms:modified xsi:type="dcterms:W3CDTF">2025-10-12T16:02:44Z</dcterms:modified>
  <cp:revision>1</cp:revision>
  <dc:subject/>
  <dc:title/>
</cp:coreProperties>
</file>